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3024A3" w:rsidRPr="003024A3" w:rsidTr="003024A3">
        <w:trPr>
          <w:tblCellSpacing w:w="37" w:type="dxa"/>
          <w:jc w:val="center"/>
        </w:trPr>
        <w:tc>
          <w:tcPr>
            <w:tcW w:w="0" w:type="auto"/>
            <w:vAlign w:val="center"/>
            <w:hideMark/>
          </w:tcPr>
          <w:p w:rsidR="003024A3" w:rsidRPr="003024A3" w:rsidRDefault="003024A3" w:rsidP="003024A3">
            <w:pPr>
              <w:spacing w:after="0" w:line="240" w:lineRule="auto"/>
              <w:jc w:val="center"/>
              <w:rPr>
                <w:rFonts w:ascii="Times New Roman" w:eastAsia="Times New Roman" w:hAnsi="Times New Roman" w:cs="Times New Roman"/>
                <w:sz w:val="24"/>
                <w:szCs w:val="24"/>
              </w:rPr>
            </w:pPr>
            <w:r w:rsidRPr="003024A3">
              <w:rPr>
                <w:rFonts w:ascii="Arial" w:eastAsia="Times New Roman" w:hAnsi="Arial" w:cs="Arial"/>
                <w:color w:val="000080"/>
                <w:sz w:val="27"/>
                <w:szCs w:val="27"/>
              </w:rPr>
              <w:t>Brecksville-Broadview Heights City School District</w:t>
            </w:r>
          </w:p>
        </w:tc>
      </w:tr>
      <w:tr w:rsidR="003024A3" w:rsidRPr="003024A3" w:rsidTr="003024A3">
        <w:trPr>
          <w:tblCellSpacing w:w="37" w:type="dxa"/>
          <w:jc w:val="center"/>
        </w:trPr>
        <w:tc>
          <w:tcPr>
            <w:tcW w:w="0" w:type="auto"/>
            <w:vAlign w:val="center"/>
            <w:hideMark/>
          </w:tcPr>
          <w:p w:rsidR="003024A3" w:rsidRPr="003024A3" w:rsidRDefault="003024A3" w:rsidP="003024A3">
            <w:pPr>
              <w:spacing w:after="0" w:line="240" w:lineRule="auto"/>
              <w:jc w:val="center"/>
              <w:rPr>
                <w:rFonts w:ascii="Times New Roman" w:eastAsia="Times New Roman" w:hAnsi="Times New Roman" w:cs="Times New Roman"/>
                <w:sz w:val="24"/>
                <w:szCs w:val="24"/>
              </w:rPr>
            </w:pPr>
            <w:r w:rsidRPr="003024A3">
              <w:rPr>
                <w:rFonts w:ascii="Arial" w:eastAsia="Times New Roman" w:hAnsi="Arial" w:cs="Arial"/>
                <w:color w:val="000080"/>
                <w:sz w:val="27"/>
                <w:szCs w:val="27"/>
              </w:rPr>
              <w:t>Bylaws &amp; Policies</w:t>
            </w:r>
          </w:p>
        </w:tc>
      </w:tr>
      <w:tr w:rsidR="003024A3" w:rsidRPr="003024A3" w:rsidTr="003024A3">
        <w:trPr>
          <w:tblCellSpacing w:w="37" w:type="dxa"/>
          <w:jc w:val="center"/>
        </w:trPr>
        <w:tc>
          <w:tcPr>
            <w:tcW w:w="0" w:type="auto"/>
            <w:vAlign w:val="center"/>
            <w:hideMark/>
          </w:tcPr>
          <w:p w:rsidR="003024A3" w:rsidRPr="003024A3" w:rsidRDefault="003024A3" w:rsidP="003024A3">
            <w:pPr>
              <w:spacing w:after="0" w:line="240" w:lineRule="auto"/>
              <w:jc w:val="center"/>
              <w:rPr>
                <w:rFonts w:ascii="Times New Roman" w:eastAsia="Times New Roman" w:hAnsi="Times New Roman" w:cs="Times New Roman"/>
                <w:sz w:val="24"/>
                <w:szCs w:val="24"/>
              </w:rPr>
            </w:pPr>
          </w:p>
        </w:tc>
      </w:tr>
      <w:tr w:rsidR="003024A3" w:rsidRPr="003024A3" w:rsidTr="003024A3">
        <w:trPr>
          <w:tblCellSpacing w:w="37" w:type="dxa"/>
          <w:jc w:val="center"/>
        </w:trPr>
        <w:tc>
          <w:tcPr>
            <w:tcW w:w="0" w:type="auto"/>
            <w:vAlign w:val="center"/>
            <w:hideMark/>
          </w:tcPr>
          <w:p w:rsidR="003024A3" w:rsidRPr="003024A3" w:rsidRDefault="003024A3" w:rsidP="003024A3">
            <w:pPr>
              <w:spacing w:after="0" w:line="240" w:lineRule="auto"/>
              <w:jc w:val="center"/>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bl>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pict>
          <v:rect id="_x0000_i1025" style="width:0;height:1.5pt" o:hralign="center" o:hrstd="t" o:hrnoshade="t" o:hr="t" fillcolor="black" stroked="f"/>
        </w:pict>
      </w:r>
    </w:p>
    <w:p w:rsidR="003024A3" w:rsidRPr="003024A3" w:rsidRDefault="003024A3" w:rsidP="003024A3">
      <w:pPr>
        <w:spacing w:before="100" w:beforeAutospacing="1" w:after="100" w:afterAutospacing="1" w:line="240" w:lineRule="auto"/>
        <w:rPr>
          <w:rFonts w:ascii="Arial" w:eastAsia="Times New Roman" w:hAnsi="Arial" w:cs="Arial"/>
          <w:b/>
          <w:bCs/>
          <w:color w:val="000080"/>
          <w:sz w:val="27"/>
          <w:szCs w:val="27"/>
        </w:rPr>
      </w:pPr>
      <w:r w:rsidRPr="003024A3">
        <w:rPr>
          <w:rFonts w:ascii="Arial" w:eastAsia="Times New Roman" w:hAnsi="Arial" w:cs="Arial"/>
          <w:b/>
          <w:bCs/>
          <w:color w:val="000080"/>
          <w:sz w:val="27"/>
          <w:szCs w:val="27"/>
        </w:rPr>
        <w:t>8510 - WELLNESS</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As required by law, the Board of Education establishes the following wellness policy for the Brecksville-Broadview Heights City School District as a part of a comprehensive wellness initiative.</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The Board recognizes that good nutrition and regular physical activity affect the health and well-being of the District's students. Furthermore, research suggests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through the schools' meal programs, by supporting the development of good eating habits, and by promoting increased physical activity both in and out of school.</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 xml:space="preserve">Schools alone, however, cannot develop in </w:t>
      </w:r>
      <w:proofErr w:type="gramStart"/>
      <w:r w:rsidRPr="003024A3">
        <w:rPr>
          <w:rFonts w:ascii="Arial" w:eastAsia="Times New Roman" w:hAnsi="Arial" w:cs="Arial"/>
          <w:color w:val="000000"/>
          <w:sz w:val="20"/>
          <w:szCs w:val="20"/>
        </w:rPr>
        <w:t>students</w:t>
      </w:r>
      <w:proofErr w:type="gramEnd"/>
      <w:r w:rsidRPr="003024A3">
        <w:rPr>
          <w:rFonts w:ascii="Arial" w:eastAsia="Times New Roman" w:hAnsi="Arial" w:cs="Arial"/>
          <w:color w:val="000000"/>
          <w:sz w:val="20"/>
          <w:szCs w:val="20"/>
        </w:rPr>
        <w:t xml:space="preserve"> healthy behaviors and habits with regard to eating and exercise. It will be necessary for not only the staff, but also parents and the public at large to be involved in a community-wide effort to promote, support, and model such healthy behaviors and habits.</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The Board sets the following goals in an effort to enable students to establish good health and nutrition habits:</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With regard to nutrition education, the District shall:</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Nutrition education shall be included in the sequential, comprehensive Health curriculum in accordance with the curriculum standards and benchmarks established by the State.</w:t>
            </w:r>
          </w:p>
        </w:tc>
      </w:tr>
    </w:tbl>
    <w:p w:rsidR="003024A3" w:rsidRPr="003024A3" w:rsidRDefault="003024A3" w:rsidP="003024A3">
      <w:pPr>
        <w:spacing w:after="0" w:line="240" w:lineRule="auto"/>
        <w:jc w:val="center"/>
        <w:rPr>
          <w:rFonts w:ascii="Arial" w:eastAsia="Times New Roman" w:hAnsi="Arial" w:cs="Arial"/>
          <w:vanish/>
          <w:color w:val="000000"/>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971"/>
        <w:gridCol w:w="698"/>
        <w:gridCol w:w="698"/>
        <w:gridCol w:w="698"/>
        <w:gridCol w:w="5185"/>
      </w:tblGrid>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B.</w:t>
            </w:r>
          </w:p>
        </w:tc>
        <w:tc>
          <w:tcPr>
            <w:tcW w:w="4100" w:type="pct"/>
            <w:gridSpan w:val="3"/>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With regard to physical activity, the District shall:</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1.</w:t>
            </w:r>
          </w:p>
        </w:tc>
        <w:tc>
          <w:tcPr>
            <w:tcW w:w="3700" w:type="pct"/>
            <w:gridSpan w:val="2"/>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b/>
                <w:bCs/>
                <w:sz w:val="20"/>
                <w:szCs w:val="20"/>
              </w:rPr>
              <w:t>Physical Education</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 sequential, comprehensive physical education program shall be provided for students in K-12 in accordance with the physical education academic content standards and benchmarks adopted by the State.</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b.</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Physical education classes shall provide students with opportunities to learn, practice, and be assessed on developmentally appropriate knowledge, attitudes and skills necessary to engage in lifelong, health-enhancing physical activity.</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lastRenderedPageBreak/>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c.</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Any student who has been removed from physical education class participation because s/he has exhibited signs, symptoms, or behaviors consistent with having sustained a concussion or head injury shall not be permitted to return to physical education class until the student’s condition is assessed by a physician, and the physician gives the student written clearance that it is safe to return to class.</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3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2.</w:t>
            </w:r>
          </w:p>
        </w:tc>
        <w:tc>
          <w:tcPr>
            <w:tcW w:w="3700" w:type="pct"/>
            <w:gridSpan w:val="2"/>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b/>
                <w:bCs/>
                <w:sz w:val="20"/>
                <w:szCs w:val="20"/>
              </w:rPr>
              <w:t>Physical Activity</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Physical activity should not be employed as a form of discipline or punishment.</w:t>
            </w:r>
          </w:p>
        </w:tc>
      </w:tr>
    </w:tbl>
    <w:p w:rsidR="003024A3" w:rsidRPr="003024A3" w:rsidRDefault="003024A3" w:rsidP="003024A3">
      <w:pPr>
        <w:spacing w:after="0" w:line="240" w:lineRule="auto"/>
        <w:jc w:val="center"/>
        <w:rPr>
          <w:rFonts w:ascii="Arial" w:eastAsia="Times New Roman" w:hAnsi="Arial" w:cs="Arial"/>
          <w:vanish/>
          <w:color w:val="000000"/>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971"/>
        <w:gridCol w:w="698"/>
        <w:gridCol w:w="698"/>
        <w:gridCol w:w="698"/>
        <w:gridCol w:w="5185"/>
      </w:tblGrid>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4"/>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C.</w:t>
            </w:r>
          </w:p>
        </w:tc>
        <w:tc>
          <w:tcPr>
            <w:tcW w:w="4100" w:type="pct"/>
            <w:gridSpan w:val="3"/>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With regard to other school-based activities the District shall:</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1.</w:t>
            </w:r>
          </w:p>
        </w:tc>
        <w:tc>
          <w:tcPr>
            <w:tcW w:w="3700" w:type="pct"/>
            <w:gridSpan w:val="2"/>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The school shall provide attractive, clean environments in which the students eat.</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2.</w:t>
            </w:r>
          </w:p>
        </w:tc>
        <w:tc>
          <w:tcPr>
            <w:tcW w:w="3700" w:type="pct"/>
            <w:gridSpan w:val="2"/>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Schools in our system utilize electronic identification and payment systems, therefore, eliminating any stigma or identification of students eligible to receive free and/or reduced meals.</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4"/>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D.</w:t>
            </w:r>
          </w:p>
        </w:tc>
        <w:tc>
          <w:tcPr>
            <w:tcW w:w="4100" w:type="pct"/>
            <w:gridSpan w:val="3"/>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With regard to nutrition promotion, the District shall:</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1.</w:t>
            </w:r>
          </w:p>
        </w:tc>
        <w:tc>
          <w:tcPr>
            <w:tcW w:w="3700" w:type="pct"/>
            <w:gridSpan w:val="2"/>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encourage students to increase their consumption of healthful foods during the school day;</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2.</w:t>
            </w:r>
          </w:p>
        </w:tc>
        <w:tc>
          <w:tcPr>
            <w:tcW w:w="3700" w:type="pct"/>
            <w:gridSpan w:val="2"/>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create an environment that reinforces the development of healthy eating habits, including offering the following healthy foods:</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 variety of fresh produce to include those prepared without added fats, sugars, refined sugars, and sodium;</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b.</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 variety of vegetables daily to include specific subgroups as defined by dark green, red/orange, legumes, and starchy;</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c.</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whole grain products – half of all grains need to be whole grain-rich upon initial implementation and all grains must be whole grain-rich within two (2) years of implementation;</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lastRenderedPageBreak/>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gridSpan w:val="3"/>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d.</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fluid milk that is fat-free (unflavored and flavored) and low-fat (unflavored);</w:t>
            </w:r>
          </w:p>
        </w:tc>
      </w:tr>
    </w:tbl>
    <w:p w:rsidR="003024A3" w:rsidRPr="003024A3" w:rsidRDefault="003024A3" w:rsidP="003024A3">
      <w:pPr>
        <w:spacing w:after="0" w:line="240" w:lineRule="auto"/>
        <w:jc w:val="center"/>
        <w:rPr>
          <w:rFonts w:ascii="Arial" w:eastAsia="Times New Roman" w:hAnsi="Arial" w:cs="Arial"/>
          <w:vanish/>
          <w:color w:val="000000"/>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2179"/>
        <w:gridCol w:w="710"/>
        <w:gridCol w:w="5361"/>
      </w:tblGrid>
      <w:tr w:rsidR="003024A3" w:rsidRPr="003024A3" w:rsidTr="003024A3">
        <w:trPr>
          <w:tblCellSpacing w:w="37" w:type="dxa"/>
          <w:jc w:val="center"/>
        </w:trPr>
        <w:tc>
          <w:tcPr>
            <w:tcW w:w="13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e.</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meals designed to meet specific calorie ranges for age/grade groups;</w:t>
            </w:r>
          </w:p>
        </w:tc>
      </w:tr>
      <w:tr w:rsidR="003024A3" w:rsidRPr="003024A3" w:rsidTr="003024A3">
        <w:trPr>
          <w:tblCellSpacing w:w="37" w:type="dxa"/>
          <w:jc w:val="center"/>
        </w:trPr>
        <w:tc>
          <w:tcPr>
            <w:tcW w:w="13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f.</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eliminate trans-fat from school meals;</w:t>
            </w:r>
          </w:p>
        </w:tc>
      </w:tr>
      <w:tr w:rsidR="003024A3" w:rsidRPr="003024A3" w:rsidTr="003024A3">
        <w:trPr>
          <w:tblCellSpacing w:w="37" w:type="dxa"/>
          <w:jc w:val="center"/>
        </w:trPr>
        <w:tc>
          <w:tcPr>
            <w:tcW w:w="13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37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13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g.</w:t>
            </w:r>
          </w:p>
        </w:tc>
        <w:tc>
          <w:tcPr>
            <w:tcW w:w="33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proofErr w:type="gramStart"/>
            <w:r w:rsidRPr="003024A3">
              <w:rPr>
                <w:rFonts w:ascii="Arial" w:eastAsia="Times New Roman" w:hAnsi="Arial" w:cs="Arial"/>
                <w:sz w:val="20"/>
                <w:szCs w:val="20"/>
              </w:rPr>
              <w:t>require</w:t>
            </w:r>
            <w:proofErr w:type="gramEnd"/>
            <w:r w:rsidRPr="003024A3">
              <w:rPr>
                <w:rFonts w:ascii="Arial" w:eastAsia="Times New Roman" w:hAnsi="Arial" w:cs="Arial"/>
                <w:sz w:val="20"/>
                <w:szCs w:val="20"/>
              </w:rPr>
              <w:t xml:space="preserve"> students to select a fruit or vegetable as part of a complete reimbursable meal.</w:t>
            </w:r>
          </w:p>
        </w:tc>
      </w:tr>
    </w:tbl>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 xml:space="preserve">Furthermore, with the objectives of enhancing student health and </w:t>
      </w:r>
      <w:proofErr w:type="spellStart"/>
      <w:r w:rsidRPr="003024A3">
        <w:rPr>
          <w:rFonts w:ascii="Arial" w:eastAsia="Times New Roman" w:hAnsi="Arial" w:cs="Arial"/>
          <w:color w:val="000000"/>
          <w:sz w:val="20"/>
          <w:szCs w:val="20"/>
        </w:rPr>
        <w:t>well being</w:t>
      </w:r>
      <w:proofErr w:type="spellEnd"/>
      <w:r w:rsidRPr="003024A3">
        <w:rPr>
          <w:rFonts w:ascii="Arial" w:eastAsia="Times New Roman" w:hAnsi="Arial" w:cs="Arial"/>
          <w:color w:val="000000"/>
          <w:sz w:val="20"/>
          <w:szCs w:val="20"/>
        </w:rPr>
        <w:t>, and reducing childhood obesity, the following guidelines are established:</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In accordance with Policy </w:t>
            </w:r>
            <w:hyperlink r:id="rId4" w:history="1">
              <w:r w:rsidRPr="003024A3">
                <w:rPr>
                  <w:rFonts w:ascii="Arial" w:eastAsia="Times New Roman" w:hAnsi="Arial" w:cs="Arial"/>
                  <w:b/>
                  <w:bCs/>
                  <w:color w:val="0000FF"/>
                  <w:sz w:val="20"/>
                  <w:szCs w:val="20"/>
                  <w:u w:val="single"/>
                </w:rPr>
                <w:t>8500</w:t>
              </w:r>
            </w:hyperlink>
            <w:r w:rsidRPr="003024A3">
              <w:rPr>
                <w:rFonts w:ascii="Arial" w:eastAsia="Times New Roman" w:hAnsi="Arial" w:cs="Arial"/>
                <w:sz w:val="20"/>
                <w:szCs w:val="20"/>
              </w:rPr>
              <w:t>, entitled Food Service, the food service program shall comply with Federal and State regulations pertaining to the selection, preparation, consumption, and disposal of food and beverages, including but not limited to the USDA Dietary Guidelines for Americans and the USDA Smart Snacks in School nutrition standards, as well as to the fiscal management of the program.</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B.</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As set forth in Policy </w:t>
            </w:r>
            <w:hyperlink r:id="rId5" w:history="1">
              <w:r w:rsidRPr="003024A3">
                <w:rPr>
                  <w:rFonts w:ascii="Arial" w:eastAsia="Times New Roman" w:hAnsi="Arial" w:cs="Arial"/>
                  <w:b/>
                  <w:bCs/>
                  <w:color w:val="0000FF"/>
                  <w:sz w:val="20"/>
                  <w:szCs w:val="20"/>
                  <w:u w:val="single"/>
                </w:rPr>
                <w:t>8531</w:t>
              </w:r>
            </w:hyperlink>
            <w:r w:rsidRPr="003024A3">
              <w:rPr>
                <w:rFonts w:ascii="Arial" w:eastAsia="Times New Roman" w:hAnsi="Arial" w:cs="Arial"/>
                <w:sz w:val="20"/>
                <w:szCs w:val="20"/>
              </w:rPr>
              <w:t>, entitled Free and Reduced Price Meals, the guidelines for reimbursable school meals are not less restrictive than the guidelines issued by the U.S. Department of Agriculture (USDA).</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90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The sale of foods of minimal nutritional value in the food service area during the lunch period is prohibited.</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C.</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The sale of foods and beverages to students that do not meet the USDA Dietary Guidelines for Americans and the USDA Smart Snacks in School nutrition standards to be consumed on the school campus during the school day is prohibited.</w:t>
            </w:r>
          </w:p>
        </w:tc>
      </w:tr>
    </w:tbl>
    <w:p w:rsidR="003024A3" w:rsidRPr="003024A3" w:rsidRDefault="003024A3" w:rsidP="003024A3">
      <w:pPr>
        <w:spacing w:after="0" w:line="240" w:lineRule="auto"/>
        <w:jc w:val="center"/>
        <w:rPr>
          <w:rFonts w:ascii="Arial" w:eastAsia="Times New Roman" w:hAnsi="Arial" w:cs="Arial"/>
          <w:vanish/>
          <w:color w:val="000000"/>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D.</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All food items and beverages available for sale to students for consumption on the school campus (any area of property under the jurisdiction of the school that is accessible to students during the school day) between midnight and thirty (30) minutes after the close of the regular school day shall comply with the current USDA Dietary Guidelines for Americans and the USDA Smart Snacks in School nutrition standards, including, but not limited to, competitive foods that are available to students a la carte or as entrees in the dining area (except entree items that were offered on the National School Lunch Program (NSLP) or School Breakfast Program (SBP) menu on the day of and the day after they are offered on the NSLP or SBP menu), as well as food items and beverages from vending machines, from school stores, or as fund-raisers, including those operated by student</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lastRenderedPageBreak/>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E.</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The food service program will strive to be financially self-supporting.</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F.</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The food service program will provide all students affordable access to the varied and nutritious foods they need to be healthy and to learn well.</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G.</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All foods available to students in District programs, other than the food service program, shall be served with consideration for promoting student health and well-being.</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H.</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The food service program shall be administered by a director who is properly qualified, certificated, licensed, or credentialed, according to current professional standards.</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10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I.</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Continuing professional development shall be provided for all staff of the food service program.</w:t>
            </w:r>
          </w:p>
        </w:tc>
      </w:tr>
    </w:tbl>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The Board designates the Superintendent and/or the Building Principals as the individual(s) charged with operational responsibility for measuring and evaluating the District's implementation and progress under this policy. The Superintendent shall develop administrative guidelines necessary to implement this policy.</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The Superintendent shall appoint a District-wide Wellness Committee that includes parents, students, representatives of the school food authority, educational staff (including physical education teachers), school health professionals, members of the public, and school administrators to oversee development, implementation, evaluation and periodic update of this policy. The Wellness Committee shall be an ad hoc committee with members recruited and appointed annually.</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The Wellness Committee shall be responsible for:</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assessment of the current school environment;</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B.</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review of the District’s Wellness policy;</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C.</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presentation of the Wellness policy to the Board for approval;</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D.</w:t>
            </w:r>
          </w:p>
        </w:tc>
        <w:tc>
          <w:tcPr>
            <w:tcW w:w="41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measurement of the implementation of the policy; and</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450" w:type="pct"/>
            <w:gridSpan w:val="2"/>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r>
      <w:tr w:rsidR="003024A3" w:rsidRPr="003024A3" w:rsidTr="003024A3">
        <w:trPr>
          <w:tblCellSpacing w:w="37" w:type="dxa"/>
          <w:jc w:val="center"/>
        </w:trPr>
        <w:tc>
          <w:tcPr>
            <w:tcW w:w="550" w:type="pct"/>
            <w:hideMark/>
          </w:tcPr>
          <w:p w:rsidR="003024A3" w:rsidRPr="003024A3" w:rsidRDefault="003024A3" w:rsidP="003024A3">
            <w:pPr>
              <w:spacing w:after="0" w:line="240" w:lineRule="auto"/>
              <w:rPr>
                <w:rFonts w:ascii="Times New Roman" w:eastAsia="Times New Roman" w:hAnsi="Times New Roman" w:cs="Times New Roman"/>
                <w:sz w:val="24"/>
                <w:szCs w:val="24"/>
              </w:rPr>
            </w:pPr>
            <w:r w:rsidRPr="003024A3">
              <w:rPr>
                <w:rFonts w:ascii="Times New Roman" w:eastAsia="Times New Roman" w:hAnsi="Times New Roman" w:cs="Times New Roman"/>
                <w:sz w:val="24"/>
                <w:szCs w:val="24"/>
              </w:rPr>
              <w:t> </w:t>
            </w:r>
          </w:p>
        </w:tc>
        <w:tc>
          <w:tcPr>
            <w:tcW w:w="400" w:type="pct"/>
            <w:hideMark/>
          </w:tcPr>
          <w:p w:rsidR="003024A3" w:rsidRPr="003024A3" w:rsidRDefault="003024A3" w:rsidP="003024A3">
            <w:pPr>
              <w:spacing w:before="100" w:beforeAutospacing="1" w:after="100" w:afterAutospacing="1" w:line="240" w:lineRule="auto"/>
              <w:rPr>
                <w:rFonts w:ascii="Times New Roman" w:eastAsia="Times New Roman" w:hAnsi="Times New Roman" w:cs="Times New Roman"/>
                <w:sz w:val="24"/>
                <w:szCs w:val="24"/>
              </w:rPr>
            </w:pPr>
            <w:r w:rsidRPr="003024A3">
              <w:rPr>
                <w:rFonts w:ascii="Arial" w:eastAsia="Times New Roman" w:hAnsi="Arial" w:cs="Arial"/>
                <w:sz w:val="20"/>
                <w:szCs w:val="20"/>
              </w:rPr>
              <w:t>E.</w:t>
            </w:r>
          </w:p>
        </w:tc>
        <w:tc>
          <w:tcPr>
            <w:tcW w:w="4100" w:type="pct"/>
            <w:hideMark/>
          </w:tcPr>
          <w:p w:rsidR="003024A3" w:rsidRPr="003024A3" w:rsidRDefault="001243D4" w:rsidP="003024A3">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Arial" w:eastAsia="Times New Roman" w:hAnsi="Arial" w:cs="Arial"/>
                <w:sz w:val="20"/>
                <w:szCs w:val="20"/>
              </w:rPr>
              <w:t>recom</w:t>
            </w:r>
            <w:r w:rsidR="003024A3" w:rsidRPr="003024A3">
              <w:rPr>
                <w:rFonts w:ascii="Arial" w:eastAsia="Times New Roman" w:hAnsi="Arial" w:cs="Arial"/>
                <w:sz w:val="20"/>
                <w:szCs w:val="20"/>
              </w:rPr>
              <w:t>mendation</w:t>
            </w:r>
            <w:proofErr w:type="gramEnd"/>
            <w:r w:rsidR="003024A3" w:rsidRPr="003024A3">
              <w:rPr>
                <w:rFonts w:ascii="Arial" w:eastAsia="Times New Roman" w:hAnsi="Arial" w:cs="Arial"/>
                <w:sz w:val="20"/>
                <w:szCs w:val="20"/>
              </w:rPr>
              <w:t xml:space="preserve"> for the revision of the policy, if necessary.</w:t>
            </w:r>
          </w:p>
        </w:tc>
      </w:tr>
    </w:tbl>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Before the end of each school year, the Wellness Committee shall recommend to the Superintendent any revisions to the policy it deems necessary and/or approp</w:t>
      </w:r>
      <w:bookmarkStart w:id="0" w:name="_GoBack"/>
      <w:bookmarkEnd w:id="0"/>
      <w:r w:rsidRPr="003024A3">
        <w:rPr>
          <w:rFonts w:ascii="Arial" w:eastAsia="Times New Roman" w:hAnsi="Arial" w:cs="Arial"/>
          <w:color w:val="000000"/>
          <w:sz w:val="20"/>
          <w:szCs w:val="20"/>
        </w:rPr>
        <w:t>riate.</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lastRenderedPageBreak/>
        <w:t>The Superintendent shall report annually to the Board on the Wellness Committee’s progress and on its evaluation of the policy’s implementation and areas for improvement, including status of compliance by individual schools and progress made in attaining the policy’s goals.</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The Superintendent is also responsible for informing the public, including parents, students and community members, on the content and implementation of this policy. In order to inform the public, the Superintendent shall post on the district’s web site information at the beginning of the school year to families of school children and post the policy on the District’s website, including the Wellness Committee’s assessment of the policy’s implementation.</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42 U.S.C. 1751, Sec. 204</w:t>
      </w:r>
      <w:r w:rsidRPr="003024A3">
        <w:rPr>
          <w:rFonts w:ascii="Arial" w:eastAsia="Times New Roman" w:hAnsi="Arial" w:cs="Arial"/>
          <w:color w:val="000000"/>
          <w:sz w:val="20"/>
          <w:szCs w:val="20"/>
        </w:rPr>
        <w:br/>
        <w:t>42 U.S.C. 1771</w:t>
      </w:r>
    </w:p>
    <w:p w:rsidR="003024A3" w:rsidRPr="003024A3" w:rsidRDefault="003024A3" w:rsidP="003024A3">
      <w:pPr>
        <w:spacing w:before="100" w:beforeAutospacing="1" w:after="100" w:afterAutospacing="1" w:line="240" w:lineRule="auto"/>
        <w:rPr>
          <w:rFonts w:ascii="Arial" w:eastAsia="Times New Roman" w:hAnsi="Arial" w:cs="Arial"/>
          <w:color w:val="000000"/>
          <w:sz w:val="20"/>
          <w:szCs w:val="20"/>
        </w:rPr>
      </w:pPr>
      <w:r w:rsidRPr="003024A3">
        <w:rPr>
          <w:rFonts w:ascii="Arial" w:eastAsia="Times New Roman" w:hAnsi="Arial" w:cs="Arial"/>
          <w:color w:val="000000"/>
          <w:sz w:val="20"/>
          <w:szCs w:val="20"/>
        </w:rPr>
        <w:t>Revised 2/29/12</w:t>
      </w:r>
      <w:r w:rsidRPr="003024A3">
        <w:rPr>
          <w:rFonts w:ascii="Arial" w:eastAsia="Times New Roman" w:hAnsi="Arial" w:cs="Arial"/>
          <w:color w:val="000000"/>
          <w:sz w:val="20"/>
          <w:szCs w:val="20"/>
        </w:rPr>
        <w:br/>
        <w:t>Revised 3/17/14</w:t>
      </w:r>
      <w:r w:rsidRPr="003024A3">
        <w:rPr>
          <w:rFonts w:ascii="Arial" w:eastAsia="Times New Roman" w:hAnsi="Arial" w:cs="Arial"/>
          <w:color w:val="000000"/>
          <w:sz w:val="20"/>
          <w:szCs w:val="20"/>
        </w:rPr>
        <w:br/>
        <w:t>Revised 11/17/14</w:t>
      </w:r>
      <w:r w:rsidRPr="003024A3">
        <w:rPr>
          <w:rFonts w:ascii="Arial" w:eastAsia="Times New Roman" w:hAnsi="Arial" w:cs="Arial"/>
          <w:color w:val="000000"/>
          <w:sz w:val="20"/>
          <w:szCs w:val="20"/>
        </w:rPr>
        <w:br/>
        <w:t>Revised 2/22/16</w:t>
      </w:r>
    </w:p>
    <w:p w:rsidR="003024A3" w:rsidRPr="003024A3" w:rsidRDefault="003024A3" w:rsidP="003024A3">
      <w:pPr>
        <w:spacing w:before="100" w:beforeAutospacing="1" w:after="100" w:afterAutospacing="1" w:line="240" w:lineRule="auto"/>
        <w:rPr>
          <w:rFonts w:ascii="Arial" w:eastAsia="Times New Roman" w:hAnsi="Arial" w:cs="Arial"/>
          <w:b/>
          <w:bCs/>
          <w:color w:val="000000"/>
          <w:sz w:val="24"/>
          <w:szCs w:val="24"/>
        </w:rPr>
      </w:pPr>
      <w:r w:rsidRPr="003024A3">
        <w:rPr>
          <w:rFonts w:ascii="Arial" w:eastAsia="Times New Roman" w:hAnsi="Arial" w:cs="Arial"/>
          <w:b/>
          <w:bCs/>
          <w:color w:val="000000"/>
          <w:sz w:val="24"/>
          <w:szCs w:val="24"/>
        </w:rPr>
        <w:t>© Neola 2014</w:t>
      </w:r>
    </w:p>
    <w:p w:rsidR="00030990" w:rsidRDefault="00030990"/>
    <w:sectPr w:rsidR="0003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A3"/>
    <w:rsid w:val="00030990"/>
    <w:rsid w:val="001243D4"/>
    <w:rsid w:val="0030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B5343-86FB-402D-A8A8-518B477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ola.com/bbhcsd-oh/search/policies/po8531.htm" TargetMode="External"/><Relationship Id="rId4" Type="http://schemas.openxmlformats.org/officeDocument/2006/relationships/hyperlink" Target="http://www.neola.com/bbhcsd-oh/search/policies/po85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du</cp:lastModifiedBy>
  <cp:revision>3</cp:revision>
  <dcterms:created xsi:type="dcterms:W3CDTF">2016-11-07T14:00:00Z</dcterms:created>
  <dcterms:modified xsi:type="dcterms:W3CDTF">2016-11-07T14:01:00Z</dcterms:modified>
</cp:coreProperties>
</file>